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603E4" w:rsidRPr="00472555" w14:paraId="31FFC451" w14:textId="77777777" w:rsidTr="00E47FAB">
        <w:trPr>
          <w:jc w:val="center"/>
        </w:trPr>
        <w:tc>
          <w:tcPr>
            <w:tcW w:w="0" w:type="auto"/>
            <w:vAlign w:val="center"/>
            <w:hideMark/>
          </w:tcPr>
          <w:p w14:paraId="0AEE7B2C" w14:textId="278B41F8" w:rsidR="007603E4" w:rsidRPr="00AA1743" w:rsidRDefault="007603E4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  <w:r w:rsidRPr="00AA174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Hi</w:t>
            </w:r>
            <w:r w:rsidR="003E3D11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(Name)</w:t>
            </w:r>
          </w:p>
          <w:p w14:paraId="79F7F74F" w14:textId="4A856ABD" w:rsidR="007603E4" w:rsidRPr="00472555" w:rsidRDefault="007603E4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  <w:r w:rsidRPr="00AA174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Our science team has been very busy lately supporting the publishing of 2 </w:t>
            </w:r>
            <w:r w:rsidR="00C57B08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new </w:t>
            </w:r>
            <w:r w:rsidRPr="00AA174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papers. We are very excited to share these with you and suggest sharing this with your clients. </w:t>
            </w:r>
          </w:p>
          <w:p w14:paraId="53A017BB" w14:textId="0DC4C5B7" w:rsidR="00B636C9" w:rsidRDefault="007603E4" w:rsidP="00881E9F">
            <w:pPr>
              <w:pStyle w:val="ListParagraph"/>
              <w:spacing w:after="0" w:line="240" w:lineRule="auto"/>
              <w:ind w:left="0"/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  <w:r w:rsidRPr="00AA174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One of these papers is dramatic case study detailing the circumstances of a 60-year-old man whose anterior ankle became necrotic and infected as a result of the insertion of a </w:t>
            </w:r>
            <w:r w:rsidRPr="00B636C9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venous catheter porter.</w:t>
            </w:r>
            <w:r w:rsidR="00B636C9" w:rsidRPr="00B636C9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His wound was 70mm x 40-45mm; total wound necrotic area was s 20.5 cm</w:t>
            </w:r>
            <w:r w:rsidR="00B636C9" w:rsidRPr="00161230">
              <w:rPr>
                <w:rFonts w:ascii="Poppins" w:eastAsia="Times New Roman" w:hAnsi="Poppins" w:cs="Poppins"/>
                <w:sz w:val="21"/>
                <w:szCs w:val="21"/>
                <w:vertAlign w:val="superscript"/>
                <w:lang w:bidi="he-IL"/>
              </w:rPr>
              <w:t>2</w:t>
            </w:r>
            <w:r w:rsidR="00B636C9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!</w:t>
            </w:r>
          </w:p>
          <w:p w14:paraId="50E1BD78" w14:textId="7F2E8313" w:rsidR="00B636C9" w:rsidRDefault="00B636C9" w:rsidP="00881E9F">
            <w:pPr>
              <w:pStyle w:val="ListParagraph"/>
              <w:spacing w:after="0" w:line="240" w:lineRule="auto"/>
              <w:ind w:left="0"/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1B1EA6EC" w14:textId="779E60B7" w:rsidR="00B636C9" w:rsidRDefault="00B636C9" w:rsidP="00881E9F">
            <w:pPr>
              <w:pStyle w:val="ListParagraph"/>
              <w:spacing w:after="0" w:line="240" w:lineRule="auto"/>
              <w:ind w:left="0"/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The anterior ankle is a very difficult area to treat. The initial plan of the medical team was to schedule </w:t>
            </w:r>
            <w:r w:rsidRPr="00B636C9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a complex invasive treatment (including debridement, excision of infected tendons and graft)</w:t>
            </w: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. However, the decision was made to offer the patient a non-invasive option -to </w:t>
            </w:r>
            <w:r w:rsidR="00C57B08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manage </w:t>
            </w: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the wound using MedCu’s Copper </w:t>
            </w:r>
            <w:r w:rsidR="00E320F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Dressings. The patient chose the latter and improvement in the condition of the wound was apparent from the beginning. </w:t>
            </w:r>
          </w:p>
          <w:p w14:paraId="33D83FB3" w14:textId="0A108C93" w:rsidR="00E320F3" w:rsidRDefault="00E320F3" w:rsidP="00881E9F">
            <w:pPr>
              <w:pStyle w:val="ListParagraph"/>
              <w:spacing w:after="0" w:line="240" w:lineRule="auto"/>
              <w:ind w:left="0"/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7C683C2A" w14:textId="31AD69AA" w:rsidR="00E320F3" w:rsidRDefault="00E320F3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At week 25 </w:t>
            </w:r>
            <w:r w:rsidR="00C57B08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with</w:t>
            </w:r>
            <w:r w:rsidR="00BC38F2">
              <w:rPr>
                <w:rFonts w:ascii="Poppins" w:eastAsia="Times New Roman" w:hAnsi="Poppins" w:cs="Poppins" w:hint="cs"/>
                <w:sz w:val="21"/>
                <w:szCs w:val="21"/>
                <w:rtl/>
                <w:lang w:bidi="he-IL"/>
              </w:rPr>
              <w:t xml:space="preserve"> </w:t>
            </w:r>
            <w:r w:rsidR="00C57B08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copper dressing </w:t>
            </w: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there was n</w:t>
            </w:r>
            <w:r w:rsidRPr="00E320F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o discharge on the dressing and the wound was completely closed (</w:t>
            </w:r>
            <w:r w:rsidR="00C57B08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t</w:t>
            </w:r>
            <w:r w:rsidR="00C57B08" w:rsidRPr="00E320F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he </w:t>
            </w:r>
            <w:r w:rsidRPr="00E320F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patient was asked to continue applying the </w:t>
            </w:r>
            <w:r w:rsidR="00C57B08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dressing</w:t>
            </w:r>
            <w:r w:rsidR="00C57B08" w:rsidRPr="00E320F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</w:t>
            </w:r>
            <w:r w:rsidRPr="00E320F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on the closed wound area to support skin regeneration and cosmetic appearance)</w:t>
            </w:r>
            <w:r w:rsidR="00C57B08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.</w:t>
            </w: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At </w:t>
            </w:r>
            <w:r w:rsidRPr="00E320F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9 Months </w:t>
            </w: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he regained full</w:t>
            </w:r>
            <w:r w:rsidRPr="00E320F3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function of the ankle including the extensor tendons and full tendon activity at the anterior aspect of the ankle was noted. </w:t>
            </w: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After one year, the scar was hardly discernible!</w:t>
            </w:r>
          </w:p>
          <w:p w14:paraId="03FF25CC" w14:textId="6E59C32C" w:rsidR="00FC1194" w:rsidRDefault="00FC1194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171D791F" w14:textId="47B56DD5" w:rsidR="00881E9F" w:rsidRDefault="00FC1194" w:rsidP="002D53C9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The second article published in Microbiology Research this June discusses a </w:t>
            </w:r>
            <w:r w:rsidR="00881E9F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trial</w:t>
            </w: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</w:t>
            </w:r>
            <w:r w:rsidR="00881E9F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done to test the efficacy of </w:t>
            </w: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MedCu’s r</w:t>
            </w:r>
            <w:r w:rsidRPr="00881E9F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egulatory cleared </w:t>
            </w:r>
            <w:r w:rsidR="00C57B08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copper </w:t>
            </w:r>
            <w:r w:rsidR="00BC38F2" w:rsidRPr="00881E9F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dressings against</w:t>
            </w:r>
            <w:r w:rsidR="00881E9F" w:rsidRPr="00881E9F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a wide range of organisms including: MRSA; Escherichia; Klebsiella pneumoniae; Enterobacter aerogenes; Enterococcus faecalis; Pseudomonas aeruginosa; Staphylococcus epidermidis and Candida albicans. </w:t>
            </w:r>
          </w:p>
          <w:p w14:paraId="45C68450" w14:textId="6BCEC14F" w:rsidR="00881E9F" w:rsidRDefault="00881E9F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6298D2C3" w14:textId="13D7A052" w:rsidR="00881E9F" w:rsidRDefault="00881E9F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The results were clear. </w:t>
            </w:r>
            <w:r w:rsid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MedCu’s</w:t>
            </w:r>
            <w:r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</w:t>
            </w:r>
            <w:r w:rsidR="002D53C9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copper dressings</w:t>
            </w:r>
            <w:r w:rsidR="002D53C9"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</w:t>
            </w:r>
            <w:r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have significantly better biocidal properties and better exudate management properties, and the </w:t>
            </w:r>
            <w:r w:rsidR="002D53C9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dressings</w:t>
            </w:r>
            <w:r w:rsidR="002D53C9"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</w:t>
            </w:r>
            <w:r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with an adhesive contour also serve as a </w:t>
            </w:r>
            <w:r w:rsidR="00BC38F2"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barrier</w:t>
            </w:r>
            <w:r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to microbial contamination. </w:t>
            </w:r>
            <w:r w:rsid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In short,</w:t>
            </w:r>
            <w:r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the</w:t>
            </w:r>
            <w:r w:rsid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study demonstrates that MedCu’s </w:t>
            </w:r>
            <w:r w:rsidR="002D53C9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copper dressings </w:t>
            </w:r>
            <w:r w:rsid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offer</w:t>
            </w:r>
            <w:r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 broad spectrum and prolonged biocidal and wound microbial protection efficacy</w:t>
            </w:r>
            <w:r w:rsid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, </w:t>
            </w:r>
            <w:r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as well as the potential to manage infected wounds with </w:t>
            </w:r>
            <w:r w:rsidR="002D53C9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copper</w:t>
            </w:r>
            <w:r w:rsidRPr="00D26A24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>.</w:t>
            </w:r>
          </w:p>
          <w:p w14:paraId="77718775" w14:textId="596697FA" w:rsidR="00D26A24" w:rsidRDefault="00D26A24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4FE1310E" w14:textId="12DFDD65" w:rsidR="00D26A24" w:rsidRPr="00D26A24" w:rsidRDefault="00D26A24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  <w: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While </w:t>
            </w:r>
            <w:r w:rsidR="00282392"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  <w:t xml:space="preserve">we are not surprised by the results of either of these 2 publications, we are thrilled to be able to share the details of this study with you and encourage you to share this information with your clients. </w:t>
            </w:r>
          </w:p>
          <w:p w14:paraId="75DAE224" w14:textId="1BDA6DEA" w:rsidR="00881E9F" w:rsidRPr="00881E9F" w:rsidRDefault="00881E9F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24708DC2" w14:textId="60BC5647" w:rsidR="00881E9F" w:rsidRPr="00881E9F" w:rsidRDefault="00881E9F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19992D6E" w14:textId="77777777" w:rsidR="00881E9F" w:rsidRPr="00881E9F" w:rsidRDefault="00881E9F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12C3C54F" w14:textId="472ABB19" w:rsidR="00E320F3" w:rsidRDefault="00E320F3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4D587EDB" w14:textId="77777777" w:rsidR="00E320F3" w:rsidRPr="00E320F3" w:rsidRDefault="00E320F3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38D797F9" w14:textId="3FBB3B99" w:rsidR="007603E4" w:rsidRPr="00AA1743" w:rsidRDefault="007603E4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  <w:p w14:paraId="0670D749" w14:textId="4BBC6C12" w:rsidR="007603E4" w:rsidRPr="00472555" w:rsidRDefault="007603E4" w:rsidP="00881E9F">
            <w:pPr>
              <w:rPr>
                <w:rFonts w:ascii="Poppins" w:eastAsia="Times New Roman" w:hAnsi="Poppins" w:cs="Poppins"/>
                <w:sz w:val="21"/>
                <w:szCs w:val="21"/>
                <w:lang w:bidi="he-IL"/>
              </w:rPr>
            </w:pPr>
          </w:p>
        </w:tc>
      </w:tr>
    </w:tbl>
    <w:p w14:paraId="63218F59" w14:textId="77777777" w:rsidR="00B27000" w:rsidRDefault="00B27000" w:rsidP="005F6BCA"/>
    <w:sectPr w:rsidR="00B2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4"/>
    <w:rsid w:val="00161230"/>
    <w:rsid w:val="00282392"/>
    <w:rsid w:val="002D53C9"/>
    <w:rsid w:val="003528B4"/>
    <w:rsid w:val="003E3D11"/>
    <w:rsid w:val="005F6BCA"/>
    <w:rsid w:val="0075799B"/>
    <w:rsid w:val="007603E4"/>
    <w:rsid w:val="00830C14"/>
    <w:rsid w:val="008409B7"/>
    <w:rsid w:val="00881E9F"/>
    <w:rsid w:val="00B27000"/>
    <w:rsid w:val="00B636C9"/>
    <w:rsid w:val="00BC38F2"/>
    <w:rsid w:val="00C57B08"/>
    <w:rsid w:val="00D26A24"/>
    <w:rsid w:val="00E320F3"/>
    <w:rsid w:val="00FA460B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4E4B"/>
  <w15:chartTrackingRefBased/>
  <w15:docId w15:val="{4EFFCCD1-154C-4E40-9B4B-0F191D8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6C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Revision">
    <w:name w:val="Revision"/>
    <w:hidden/>
    <w:uiPriority w:val="99"/>
    <w:semiHidden/>
    <w:rsid w:val="00C5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beth</dc:creator>
  <cp:keywords/>
  <dc:description/>
  <cp:lastModifiedBy>Dalia Dawn Orkin</cp:lastModifiedBy>
  <cp:revision>3</cp:revision>
  <dcterms:created xsi:type="dcterms:W3CDTF">2024-01-16T11:06:00Z</dcterms:created>
  <dcterms:modified xsi:type="dcterms:W3CDTF">2024-01-16T14:30:00Z</dcterms:modified>
</cp:coreProperties>
</file>