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E4CF7" w14:textId="4BD81FC1" w:rsidR="00B27000" w:rsidRDefault="00DD5629">
      <w:proofErr w:type="spellStart"/>
      <w:r>
        <w:t>DermShield</w:t>
      </w:r>
      <w:proofErr w:type="spellEnd"/>
      <w:r>
        <w:t xml:space="preserve"> White Paper</w:t>
      </w:r>
    </w:p>
    <w:p w14:paraId="3D46FB8A" w14:textId="672CC176" w:rsidR="00716116" w:rsidRDefault="00716116"/>
    <w:p w14:paraId="09E89062" w14:textId="39F7AE0F" w:rsidR="0098308F" w:rsidRDefault="0098308F"/>
    <w:p w14:paraId="42B528E7" w14:textId="5FAA5156" w:rsidR="0026311B" w:rsidRDefault="0026311B">
      <w:r>
        <w:t>Abstract</w:t>
      </w:r>
    </w:p>
    <w:p w14:paraId="6DDD409A" w14:textId="421CC741" w:rsidR="0098308F" w:rsidRDefault="0098308F">
      <w:proofErr w:type="spellStart"/>
      <w:r>
        <w:t>DermShield</w:t>
      </w:r>
      <w:proofErr w:type="spellEnd"/>
      <w:r w:rsidR="00D87E22">
        <w:t xml:space="preserve"> is</w:t>
      </w:r>
      <w:r>
        <w:t xml:space="preserve"> a proprietary complex technology</w:t>
      </w:r>
      <w:r w:rsidR="00D87E22">
        <w:t xml:space="preserve">. It is </w:t>
      </w:r>
      <w:r>
        <w:t>a novel protective complex (</w:t>
      </w:r>
      <w:r w:rsidR="00D87E22">
        <w:t>NPC</w:t>
      </w:r>
      <w:r w:rsidR="003D4B58">
        <w:t xml:space="preserve">). This </w:t>
      </w:r>
      <w:r w:rsidR="0026311B">
        <w:t xml:space="preserve">proprietary </w:t>
      </w:r>
      <w:r w:rsidR="003D4B58">
        <w:t>protective complex is a breakthrough in skincare, providing a temporary selective inhibitor complex.</w:t>
      </w:r>
      <w:r w:rsidR="008D20EC">
        <w:t xml:space="preserve"> </w:t>
      </w:r>
      <w:proofErr w:type="spellStart"/>
      <w:r w:rsidR="008D20EC">
        <w:t>DermShield</w:t>
      </w:r>
      <w:proofErr w:type="spellEnd"/>
      <w:r w:rsidR="00005153">
        <w:t xml:space="preserve"> technology, an integral component of </w:t>
      </w:r>
      <w:r w:rsidR="00620191">
        <w:t>Noon’s</w:t>
      </w:r>
      <w:r w:rsidR="00620191" w:rsidRPr="004665AF">
        <w:t xml:space="preserve"> </w:t>
      </w:r>
      <w:proofErr w:type="spellStart"/>
      <w:r w:rsidR="00005153" w:rsidRPr="004665AF">
        <w:t>Paraceutical</w:t>
      </w:r>
      <w:proofErr w:type="spellEnd"/>
      <w:r w:rsidR="00005153" w:rsidRPr="004665AF">
        <w:t xml:space="preserve"> skincare </w:t>
      </w:r>
      <w:r w:rsidR="00B535FE" w:rsidRPr="004665AF">
        <w:t>line</w:t>
      </w:r>
      <w:r w:rsidR="00D87E22">
        <w:t xml:space="preserve"> which</w:t>
      </w:r>
      <w:r w:rsidR="00B535FE" w:rsidRPr="004665AF">
        <w:t xml:space="preserve"> </w:t>
      </w:r>
      <w:r w:rsidR="00B535FE">
        <w:t>enables</w:t>
      </w:r>
      <w:r w:rsidR="0026311B">
        <w:t xml:space="preserve"> </w:t>
      </w:r>
      <w:r w:rsidR="0026311B" w:rsidRPr="004665AF">
        <w:t>unprecedented high concentration levels</w:t>
      </w:r>
      <w:r w:rsidR="0026311B">
        <w:t xml:space="preserve"> of</w:t>
      </w:r>
      <w:r w:rsidR="0026311B" w:rsidRPr="004665AF">
        <w:t xml:space="preserve"> </w:t>
      </w:r>
      <w:r w:rsidR="00005153" w:rsidRPr="004665AF">
        <w:t>active ingredients without the usual</w:t>
      </w:r>
      <w:r w:rsidR="004665AF">
        <w:t xml:space="preserve">, painful </w:t>
      </w:r>
      <w:r w:rsidR="00005153" w:rsidRPr="004665AF">
        <w:t xml:space="preserve">side effects </w:t>
      </w:r>
      <w:r w:rsidR="004665AF">
        <w:t xml:space="preserve">associated with </w:t>
      </w:r>
      <w:r w:rsidR="00005153" w:rsidRPr="004665AF">
        <w:t xml:space="preserve">such </w:t>
      </w:r>
      <w:r w:rsidR="00FA1F06">
        <w:t xml:space="preserve">treatment </w:t>
      </w:r>
      <w:r w:rsidR="00205AF0">
        <w:t>protocols</w:t>
      </w:r>
      <w:r w:rsidR="00FA1F06">
        <w:t>.</w:t>
      </w:r>
    </w:p>
    <w:p w14:paraId="5FB33022" w14:textId="784A7080" w:rsidR="00EA403D" w:rsidRDefault="00EA403D" w:rsidP="00EA403D"/>
    <w:p w14:paraId="580E4791" w14:textId="3F7858F3" w:rsidR="0026311B" w:rsidRDefault="0026311B" w:rsidP="00F6075E">
      <w:r>
        <w:t>Introduction</w:t>
      </w:r>
    </w:p>
    <w:p w14:paraId="2A7A2387" w14:textId="4111C71D" w:rsidR="00F2354F" w:rsidRDefault="00F6075E" w:rsidP="00F2354F">
      <w:pPr>
        <w:pStyle w:val="CommentText"/>
        <w:rPr>
          <w:sz w:val="24"/>
          <w:szCs w:val="24"/>
        </w:rPr>
      </w:pPr>
      <w:r w:rsidRPr="00D9052B">
        <w:rPr>
          <w:sz w:val="24"/>
          <w:szCs w:val="24"/>
        </w:rPr>
        <w:t xml:space="preserve">The concept of the peel is to resurface and rejuvenate the skin. </w:t>
      </w:r>
      <w:r w:rsidR="006F4BAA" w:rsidRPr="00D9052B">
        <w:rPr>
          <w:sz w:val="24"/>
          <w:szCs w:val="24"/>
        </w:rPr>
        <w:t xml:space="preserve">Chemical peels are a popular, effective, non-invasive and relatively safe method to improve skin appearance and treat various skin problems such as acne, pigmentation, scars, wrinkles, etc. </w:t>
      </w:r>
      <w:r w:rsidRPr="00D9052B">
        <w:rPr>
          <w:rFonts w:asciiTheme="minorBidi" w:hAnsiTheme="minorBidi" w:cstheme="minorBidi"/>
          <w:color w:val="333333"/>
          <w:sz w:val="24"/>
          <w:szCs w:val="24"/>
          <w:shd w:val="clear" w:color="auto" w:fill="FFFFFF"/>
        </w:rPr>
        <w:t>By inducing a controlled injury to the skin’s surface, a chemical peel works by removing the upper layer or layers</w:t>
      </w:r>
      <w:r w:rsidR="00D9052B">
        <w:rPr>
          <w:rFonts w:asciiTheme="minorBidi" w:hAnsiTheme="minorBidi" w:cstheme="minorBidi"/>
          <w:color w:val="333333"/>
          <w:sz w:val="24"/>
          <w:szCs w:val="24"/>
          <w:shd w:val="clear" w:color="auto" w:fill="FFFFFF"/>
        </w:rPr>
        <w:t xml:space="preserve"> of the epidermis</w:t>
      </w:r>
      <w:r w:rsidRPr="00D9052B">
        <w:rPr>
          <w:rFonts w:asciiTheme="minorBidi" w:hAnsiTheme="minorBidi" w:cstheme="minorBidi"/>
          <w:color w:val="333333"/>
          <w:sz w:val="24"/>
          <w:szCs w:val="24"/>
          <w:shd w:val="clear" w:color="auto" w:fill="FFFFFF"/>
        </w:rPr>
        <w:t>. The skin’s natural healing process then works to generate a new, smoother surface - thus reducing acne scarring, fine lines and other contour issues. The ultimate goal of a skin peel is an improvement in texture along with a reduction in discoloration.</w:t>
      </w:r>
      <w:r w:rsidRPr="00D9052B">
        <w:rPr>
          <w:sz w:val="24"/>
          <w:szCs w:val="24"/>
        </w:rPr>
        <w:t xml:space="preserve"> </w:t>
      </w:r>
    </w:p>
    <w:p w14:paraId="645AE05C" w14:textId="77777777" w:rsidR="00D9052B" w:rsidRPr="00D9052B" w:rsidRDefault="00D9052B" w:rsidP="00F2354F">
      <w:pPr>
        <w:pStyle w:val="CommentText"/>
        <w:rPr>
          <w:sz w:val="24"/>
          <w:szCs w:val="24"/>
        </w:rPr>
      </w:pPr>
    </w:p>
    <w:p w14:paraId="150A99D5" w14:textId="0045E3C2" w:rsidR="001743AA" w:rsidRPr="00D9052B" w:rsidRDefault="00F2354F" w:rsidP="00D9052B">
      <w:pPr>
        <w:pStyle w:val="CommentText"/>
        <w:rPr>
          <w:rFonts w:asciiTheme="minorBidi" w:hAnsiTheme="minorBidi" w:cstheme="minorBidi"/>
          <w:sz w:val="24"/>
          <w:szCs w:val="24"/>
        </w:rPr>
      </w:pPr>
      <w:r w:rsidRPr="00D9052B">
        <w:rPr>
          <w:sz w:val="24"/>
          <w:szCs w:val="24"/>
        </w:rPr>
        <w:t xml:space="preserve">The aim of the application of a chemical peel is to treat the skin via a chemical agent and create a change of the structural elements of the skin.  These are commonly used in clinical settings and are found in many cosmetics.… </w:t>
      </w:r>
    </w:p>
    <w:p w14:paraId="4D823F20" w14:textId="77777777" w:rsidR="00533C50" w:rsidRDefault="00533C50" w:rsidP="00EA403D"/>
    <w:p w14:paraId="35E6282A" w14:textId="068D65DB" w:rsidR="001F39D2" w:rsidRDefault="00533C50" w:rsidP="001F39D2">
      <w:pPr>
        <w:shd w:val="clear" w:color="auto" w:fill="FFFFFF"/>
      </w:pPr>
      <w:r>
        <w:t xml:space="preserve">Chemical peels are </w:t>
      </w:r>
      <w:r w:rsidR="00366BBA">
        <w:t xml:space="preserve">categorized </w:t>
      </w:r>
      <w:r>
        <w:t>into 4 groups: enzymatic</w:t>
      </w:r>
      <w:r w:rsidR="00C410E3">
        <w:t xml:space="preserve"> peels,</w:t>
      </w:r>
      <w:r>
        <w:t xml:space="preserve"> pH-peels, retinoid peels and keratolytic peels</w:t>
      </w:r>
      <w:r w:rsidR="00C410E3">
        <w:t xml:space="preserve">. These are further </w:t>
      </w:r>
      <w:r w:rsidR="00366BBA">
        <w:t xml:space="preserve">classified </w:t>
      </w:r>
      <w:r w:rsidR="00C410E3">
        <w:t xml:space="preserve">according to </w:t>
      </w:r>
      <w:r w:rsidR="00D95AFD">
        <w:t>the</w:t>
      </w:r>
      <w:r w:rsidR="00C410E3">
        <w:t>ir</w:t>
      </w:r>
      <w:r w:rsidR="00D95AFD">
        <w:t xml:space="preserve"> depth of </w:t>
      </w:r>
      <w:r w:rsidR="00B535FE">
        <w:t xml:space="preserve">penetration </w:t>
      </w:r>
      <w:r w:rsidR="00B00298">
        <w:t xml:space="preserve">and </w:t>
      </w:r>
      <w:r w:rsidR="001F39D2">
        <w:t xml:space="preserve">desquamation </w:t>
      </w:r>
      <w:r w:rsidR="00D95AFD">
        <w:t>of the skin</w:t>
      </w:r>
      <w:r w:rsidR="00D9052B">
        <w:t>.</w:t>
      </w:r>
    </w:p>
    <w:p w14:paraId="1D81CBEA" w14:textId="1778994A" w:rsidR="00CB3BC4" w:rsidRDefault="00CB3BC4" w:rsidP="001F39D2">
      <w:pPr>
        <w:shd w:val="clear" w:color="auto" w:fill="FFFFFF"/>
      </w:pPr>
    </w:p>
    <w:p w14:paraId="0D2AE9DD" w14:textId="42D44121" w:rsidR="00BB44C7" w:rsidRPr="00BB44C7" w:rsidRDefault="00BB44C7" w:rsidP="00BB44C7">
      <w:pPr>
        <w:pStyle w:val="CommentText"/>
        <w:rPr>
          <w:sz w:val="24"/>
          <w:szCs w:val="24"/>
        </w:rPr>
      </w:pPr>
      <w:r w:rsidRPr="00BB44C7">
        <w:rPr>
          <w:sz w:val="24"/>
          <w:szCs w:val="24"/>
        </w:rPr>
        <w:t xml:space="preserve">The challenge with most therapeutic skin care products is to maximize the therapeutic benefits. Such as with chemical peels and creams, which would require high acid concentration and a low </w:t>
      </w:r>
      <w:proofErr w:type="spellStart"/>
      <w:r w:rsidRPr="00BB44C7">
        <w:rPr>
          <w:sz w:val="24"/>
          <w:szCs w:val="24"/>
        </w:rPr>
        <w:t>pH.</w:t>
      </w:r>
      <w:proofErr w:type="spellEnd"/>
      <w:r w:rsidRPr="00BB44C7">
        <w:rPr>
          <w:sz w:val="24"/>
          <w:szCs w:val="24"/>
        </w:rPr>
        <w:t xml:space="preserve">  With high concentration treatments this may lead to undesirable side effects though, such as itching, stinging, erythema, edema and discomfort.</w:t>
      </w:r>
    </w:p>
    <w:p w14:paraId="202E1D55" w14:textId="24280BCA" w:rsidR="00F927F2" w:rsidRDefault="00F927F2" w:rsidP="00BF3F84">
      <w:pPr>
        <w:autoSpaceDE w:val="0"/>
        <w:autoSpaceDN w:val="0"/>
        <w:adjustRightInd w:val="0"/>
      </w:pPr>
    </w:p>
    <w:p w14:paraId="05DE456E" w14:textId="6401A541" w:rsidR="00F927F2" w:rsidRDefault="00F927F2" w:rsidP="00F927F2">
      <w:pPr>
        <w:autoSpaceDE w:val="0"/>
        <w:autoSpaceDN w:val="0"/>
        <w:adjustRightInd w:val="0"/>
      </w:pPr>
      <w:r>
        <w:t xml:space="preserve">The efficacy of skincare products is directly related to their active ingredients. In order for skincare products to have high efficacy, the active ingredients must contain a high concentration and a low </w:t>
      </w:r>
      <w:proofErr w:type="spellStart"/>
      <w:r>
        <w:t>pH.</w:t>
      </w:r>
      <w:proofErr w:type="spellEnd"/>
      <w:r>
        <w:t xml:space="preserve"> However, m</w:t>
      </w:r>
      <w:r w:rsidRPr="004A7783">
        <w:t xml:space="preserve">ost established skincare companies reduce the concentration of active ingredients to </w:t>
      </w:r>
      <w:r>
        <w:t>reduce painful side effects.</w:t>
      </w:r>
      <w:r w:rsidR="00E53886">
        <w:t xml:space="preserve"> This balance between product efficacy and side effects means that many products are either less effective or require frequent applications to achieve the same results. </w:t>
      </w:r>
    </w:p>
    <w:p w14:paraId="01975820" w14:textId="261C65F2" w:rsidR="00BF3F84" w:rsidRDefault="00BF3F84" w:rsidP="00BF3F84">
      <w:pPr>
        <w:autoSpaceDE w:val="0"/>
        <w:autoSpaceDN w:val="0"/>
        <w:adjustRightInd w:val="0"/>
      </w:pPr>
    </w:p>
    <w:p w14:paraId="2A7FAFBC" w14:textId="45C81123" w:rsidR="00BF3F84" w:rsidRDefault="00C86490" w:rsidP="00C86490">
      <w:pPr>
        <w:autoSpaceDE w:val="0"/>
        <w:autoSpaceDN w:val="0"/>
        <w:adjustRightInd w:val="0"/>
      </w:pPr>
      <w:r>
        <w:t xml:space="preserve">The </w:t>
      </w:r>
      <w:proofErr w:type="spellStart"/>
      <w:r>
        <w:t>DermShield</w:t>
      </w:r>
      <w:proofErr w:type="spellEnd"/>
      <w:r>
        <w:t xml:space="preserve"> Difference</w:t>
      </w:r>
    </w:p>
    <w:p w14:paraId="79728387" w14:textId="392CBE64" w:rsidR="00C86490" w:rsidRDefault="00C86490" w:rsidP="00C86490">
      <w:pPr>
        <w:autoSpaceDE w:val="0"/>
        <w:autoSpaceDN w:val="0"/>
        <w:adjustRightInd w:val="0"/>
      </w:pPr>
    </w:p>
    <w:p w14:paraId="0490CEFC" w14:textId="25A1AE8E" w:rsidR="00C86490" w:rsidRDefault="00C86490" w:rsidP="006B0F22">
      <w:pPr>
        <w:autoSpaceDE w:val="0"/>
        <w:autoSpaceDN w:val="0"/>
        <w:adjustRightInd w:val="0"/>
      </w:pPr>
      <w:proofErr w:type="spellStart"/>
      <w:r w:rsidRPr="00C86490">
        <w:lastRenderedPageBreak/>
        <w:t>DermShield</w:t>
      </w:r>
      <w:proofErr w:type="spellEnd"/>
      <w:r w:rsidRPr="00C86490">
        <w:t xml:space="preserve"> technology</w:t>
      </w:r>
      <w:r>
        <w:t xml:space="preserve"> is </w:t>
      </w:r>
      <w:r w:rsidRPr="00C86490">
        <w:t>a breakthrough approach to skincare</w:t>
      </w:r>
      <w:r w:rsidR="006B0F22">
        <w:t xml:space="preserve">, impacting the ability of professional skincare providers to deliver highly effective, safe and irritation free skin treatments. </w:t>
      </w:r>
    </w:p>
    <w:p w14:paraId="46B252A1" w14:textId="4218CA8C" w:rsidR="00254945" w:rsidRDefault="00254945" w:rsidP="006B0F22">
      <w:pPr>
        <w:autoSpaceDE w:val="0"/>
        <w:autoSpaceDN w:val="0"/>
        <w:adjustRightInd w:val="0"/>
      </w:pPr>
    </w:p>
    <w:p w14:paraId="4C1F3174" w14:textId="297AC0DA" w:rsidR="00254945" w:rsidRDefault="00254945" w:rsidP="00254945">
      <w:pPr>
        <w:autoSpaceDE w:val="0"/>
        <w:autoSpaceDN w:val="0"/>
        <w:adjustRightInd w:val="0"/>
      </w:pPr>
      <w:proofErr w:type="spellStart"/>
      <w:r>
        <w:t>DermShield</w:t>
      </w:r>
      <w:proofErr w:type="spellEnd"/>
      <w:r>
        <w:t xml:space="preserve"> technology has paved the way for the development of a </w:t>
      </w:r>
      <w:proofErr w:type="spellStart"/>
      <w:r>
        <w:t>paraceutical</w:t>
      </w:r>
      <w:proofErr w:type="spellEnd"/>
      <w:r>
        <w:t xml:space="preserve"> skincare product-line that contains unprecedented high levels of active ingredients, e</w:t>
      </w:r>
      <w:r w:rsidRPr="0028337A">
        <w:t xml:space="preserve">nabling </w:t>
      </w:r>
      <w:r>
        <w:t>highly effective, safe and irritation-free treatments; no burning, redness, edema, erythema, itching, stinging or any unpleasant sensations.</w:t>
      </w:r>
    </w:p>
    <w:p w14:paraId="3BA755C1" w14:textId="1D919832" w:rsidR="008C7900" w:rsidRDefault="008C7900" w:rsidP="006B0F22">
      <w:pPr>
        <w:autoSpaceDE w:val="0"/>
        <w:autoSpaceDN w:val="0"/>
        <w:adjustRightInd w:val="0"/>
      </w:pPr>
    </w:p>
    <w:p w14:paraId="758869C9" w14:textId="442EBD8D" w:rsidR="008C7900" w:rsidRDefault="008C7900" w:rsidP="006B0F22">
      <w:pPr>
        <w:autoSpaceDE w:val="0"/>
        <w:autoSpaceDN w:val="0"/>
        <w:adjustRightInd w:val="0"/>
      </w:pPr>
      <w:r>
        <w:t>When skin peeling products containing the active ingredients are applied to the skin, nerve fibers called Type C Nociceptors are activated</w:t>
      </w:r>
      <w:r w:rsidR="00314FA9">
        <w:t xml:space="preserve">. This results in neurogenic inflammation, </w:t>
      </w:r>
      <w:r w:rsidR="00B02A12">
        <w:t>blood vessels dilate causing redness, erythema and edema. Mast cells are also activated releasing histamine</w:t>
      </w:r>
      <w:r w:rsidR="00BB44C7">
        <w:t>s</w:t>
      </w:r>
      <w:r w:rsidR="00B02A12">
        <w:t>. The nerve pulse continues to the brain causing painful sensations</w:t>
      </w:r>
      <w:r w:rsidR="00915014">
        <w:t xml:space="preserve"> such as stinging</w:t>
      </w:r>
      <w:r w:rsidR="00B02A12">
        <w:t>, burn</w:t>
      </w:r>
      <w:r w:rsidR="00915014">
        <w:t>ing</w:t>
      </w:r>
      <w:r w:rsidR="00B02A12">
        <w:t xml:space="preserve"> and itch</w:t>
      </w:r>
      <w:r w:rsidR="00915014">
        <w:t>ing</w:t>
      </w:r>
      <w:r w:rsidR="00B02A12">
        <w:t>.</w:t>
      </w:r>
    </w:p>
    <w:p w14:paraId="4EBA0086" w14:textId="50B2F590" w:rsidR="0028337A" w:rsidRDefault="0028337A" w:rsidP="006B0F22">
      <w:pPr>
        <w:autoSpaceDE w:val="0"/>
        <w:autoSpaceDN w:val="0"/>
        <w:adjustRightInd w:val="0"/>
      </w:pPr>
    </w:p>
    <w:p w14:paraId="2AA0E913" w14:textId="2B76144A" w:rsidR="007D36D1" w:rsidRDefault="0028337A" w:rsidP="00F13151">
      <w:pPr>
        <w:autoSpaceDE w:val="0"/>
        <w:autoSpaceDN w:val="0"/>
        <w:adjustRightInd w:val="0"/>
      </w:pPr>
      <w:r>
        <w:t>As a</w:t>
      </w:r>
      <w:r w:rsidR="00254945">
        <w:t>n</w:t>
      </w:r>
      <w:r>
        <w:t xml:space="preserve"> NPC, </w:t>
      </w:r>
      <w:proofErr w:type="spellStart"/>
      <w:r>
        <w:t>DermShield</w:t>
      </w:r>
      <w:proofErr w:type="spellEnd"/>
      <w:r>
        <w:t>,</w:t>
      </w:r>
      <w:r w:rsidRPr="0028337A">
        <w:t xml:space="preserve"> creates a temporary selective inhibitor complex</w:t>
      </w:r>
      <w:r>
        <w:t xml:space="preserve"> that temporarily</w:t>
      </w:r>
      <w:r w:rsidR="00254945">
        <w:t xml:space="preserve"> </w:t>
      </w:r>
      <w:r w:rsidRPr="0028337A">
        <w:t>and directly reduc</w:t>
      </w:r>
      <w:r w:rsidR="004A7783">
        <w:t>es</w:t>
      </w:r>
      <w:r w:rsidRPr="0028337A">
        <w:t xml:space="preserve"> the transmission of the skin’s chemical irritation</w:t>
      </w:r>
      <w:r w:rsidR="004A7783">
        <w:t xml:space="preserve"> reaction</w:t>
      </w:r>
      <w:r w:rsidR="00B02A12">
        <w:t>, activation of Type C Nociceptors is reduced</w:t>
      </w:r>
      <w:r w:rsidR="00254945">
        <w:t>, neurogenic inflammation and the accompanying side effects are avoided. The nerve impulse to the brain is decreased and so the painful side effects are significantly reduced.</w:t>
      </w:r>
      <w:r w:rsidR="004A7783">
        <w:t xml:space="preserve"> </w:t>
      </w:r>
      <w:r w:rsidR="00254945">
        <w:t xml:space="preserve">The created </w:t>
      </w:r>
      <w:r w:rsidRPr="0028337A">
        <w:t>synergistic effect</w:t>
      </w:r>
      <w:r w:rsidR="00254945">
        <w:t xml:space="preserve"> created by </w:t>
      </w:r>
      <w:proofErr w:type="spellStart"/>
      <w:r w:rsidR="00254945">
        <w:t>DermShield</w:t>
      </w:r>
      <w:proofErr w:type="spellEnd"/>
      <w:r w:rsidR="00254945">
        <w:t xml:space="preserve"> leads</w:t>
      </w:r>
      <w:r w:rsidRPr="0028337A">
        <w:t xml:space="preserve"> to </w:t>
      </w:r>
      <w:r w:rsidR="00254945">
        <w:t xml:space="preserve">an overall </w:t>
      </w:r>
      <w:r w:rsidRPr="0028337A">
        <w:t>decreased development, incidence and severity</w:t>
      </w:r>
      <w:r w:rsidR="00254945">
        <w:t xml:space="preserve"> </w:t>
      </w:r>
      <w:r w:rsidRPr="0028337A">
        <w:t>of skin irritation</w:t>
      </w:r>
      <w:r w:rsidR="00254945">
        <w:t>,</w:t>
      </w:r>
      <w:r w:rsidRPr="0028337A">
        <w:t xml:space="preserve"> erythema</w:t>
      </w:r>
      <w:r w:rsidR="00254945">
        <w:t xml:space="preserve"> and</w:t>
      </w:r>
      <w:r w:rsidR="004A7783">
        <w:t xml:space="preserve"> </w:t>
      </w:r>
      <w:r w:rsidR="00254945">
        <w:t>pain.</w:t>
      </w:r>
    </w:p>
    <w:p w14:paraId="522D3FF2" w14:textId="61E4797E" w:rsidR="00F13151" w:rsidRDefault="00F13151" w:rsidP="00F13151">
      <w:pPr>
        <w:autoSpaceDE w:val="0"/>
        <w:autoSpaceDN w:val="0"/>
        <w:adjustRightInd w:val="0"/>
      </w:pPr>
      <w:r>
        <w:rPr>
          <w:noProof/>
        </w:rPr>
        <w:drawing>
          <wp:inline distT="0" distB="0" distL="0" distR="0" wp14:anchorId="43AB87EF" wp14:editId="2B2D169C">
            <wp:extent cx="5943600" cy="430149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301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39FCEC" w14:textId="77777777" w:rsidR="00F13151" w:rsidRDefault="00F13151" w:rsidP="0074265C">
      <w:pPr>
        <w:autoSpaceDE w:val="0"/>
        <w:autoSpaceDN w:val="0"/>
        <w:adjustRightInd w:val="0"/>
      </w:pPr>
    </w:p>
    <w:p w14:paraId="3AC8201D" w14:textId="77777777" w:rsidR="00F13151" w:rsidRDefault="00F13151" w:rsidP="0074265C">
      <w:pPr>
        <w:autoSpaceDE w:val="0"/>
        <w:autoSpaceDN w:val="0"/>
        <w:adjustRightInd w:val="0"/>
      </w:pPr>
    </w:p>
    <w:p w14:paraId="2A82FD29" w14:textId="2E182339" w:rsidR="00766259" w:rsidRDefault="00766259" w:rsidP="0074265C">
      <w:pPr>
        <w:autoSpaceDE w:val="0"/>
        <w:autoSpaceDN w:val="0"/>
        <w:adjustRightInd w:val="0"/>
      </w:pPr>
      <w:r>
        <w:t xml:space="preserve">With </w:t>
      </w:r>
      <w:proofErr w:type="spellStart"/>
      <w:r w:rsidR="00944E32">
        <w:t>DermShield</w:t>
      </w:r>
      <w:proofErr w:type="spellEnd"/>
      <w:r w:rsidR="00944E32">
        <w:t xml:space="preserve"> enhanced products, patients of all ages</w:t>
      </w:r>
      <w:r w:rsidR="00B55B9C">
        <w:t>,</w:t>
      </w:r>
      <w:r w:rsidR="00944E32">
        <w:t xml:space="preserve"> genders</w:t>
      </w:r>
      <w:r w:rsidR="00B55B9C">
        <w:t xml:space="preserve"> and </w:t>
      </w:r>
      <w:r w:rsidR="00944E32">
        <w:t xml:space="preserve">all Fitzpatrick skin types with all manner of </w:t>
      </w:r>
      <w:r w:rsidR="00B55B9C">
        <w:t>skin ailments</w:t>
      </w:r>
      <w:r w:rsidR="00944E32">
        <w:t xml:space="preserve"> can be treated year-round. </w:t>
      </w:r>
      <w:proofErr w:type="spellStart"/>
      <w:r w:rsidR="00B55B9C">
        <w:t>DermShield</w:t>
      </w:r>
      <w:proofErr w:type="spellEnd"/>
      <w:r w:rsidR="00B55B9C">
        <w:t xml:space="preserve"> products have been proven effective for the treatment of</w:t>
      </w:r>
      <w:r w:rsidR="00944E32">
        <w:t xml:space="preserve"> conditions such as hyperpigmentation, loss of elasticity, sun damage, acne, seborrhea and aging </w:t>
      </w:r>
      <w:r w:rsidR="00915014">
        <w:t xml:space="preserve">which </w:t>
      </w:r>
      <w:r w:rsidR="00944E32">
        <w:t>can be treated, leading to healthy and beautiful skin.</w:t>
      </w:r>
    </w:p>
    <w:p w14:paraId="0E6C3FCC" w14:textId="69D82C7B" w:rsidR="00EA59C4" w:rsidRDefault="00EA59C4" w:rsidP="0074265C">
      <w:pPr>
        <w:autoSpaceDE w:val="0"/>
        <w:autoSpaceDN w:val="0"/>
        <w:adjustRightInd w:val="0"/>
      </w:pPr>
    </w:p>
    <w:p w14:paraId="5274841A" w14:textId="6D780D5B" w:rsidR="00D14FCB" w:rsidRDefault="00205EA2" w:rsidP="0074265C">
      <w:pPr>
        <w:autoSpaceDE w:val="0"/>
        <w:autoSpaceDN w:val="0"/>
        <w:adjustRightInd w:val="0"/>
      </w:pPr>
      <w:r>
        <w:t xml:space="preserve">Clinically proven </w:t>
      </w:r>
    </w:p>
    <w:p w14:paraId="055BB37E" w14:textId="77777777" w:rsidR="00EA59C4" w:rsidRDefault="00EA59C4" w:rsidP="0074265C">
      <w:pPr>
        <w:autoSpaceDE w:val="0"/>
        <w:autoSpaceDN w:val="0"/>
        <w:adjustRightInd w:val="0"/>
      </w:pPr>
    </w:p>
    <w:p w14:paraId="79F9ED9E" w14:textId="543B4831" w:rsidR="00EA59C4" w:rsidRDefault="00205EA2" w:rsidP="00EA59C4">
      <w:pPr>
        <w:rPr>
          <w:rFonts w:eastAsia="Times New Roman"/>
          <w:color w:val="222222"/>
          <w:szCs w:val="24"/>
        </w:rPr>
      </w:pPr>
      <w:r>
        <w:t xml:space="preserve">Most </w:t>
      </w:r>
      <w:r w:rsidR="00EA59C4">
        <w:t xml:space="preserve">pH peels include </w:t>
      </w:r>
      <w:r w:rsidR="00EA59C4" w:rsidRPr="000617C3">
        <w:rPr>
          <w:rFonts w:eastAsia="Times New Roman"/>
          <w:color w:val="222222"/>
          <w:szCs w:val="24"/>
        </w:rPr>
        <w:t xml:space="preserve">AHA (Alpha-Hydroxy </w:t>
      </w:r>
      <w:r w:rsidR="00EA59C4">
        <w:rPr>
          <w:rFonts w:eastAsia="Times New Roman"/>
          <w:color w:val="222222"/>
          <w:szCs w:val="24"/>
        </w:rPr>
        <w:t>A</w:t>
      </w:r>
      <w:r w:rsidR="00EA59C4" w:rsidRPr="000617C3">
        <w:rPr>
          <w:rFonts w:eastAsia="Times New Roman"/>
          <w:color w:val="222222"/>
          <w:szCs w:val="24"/>
        </w:rPr>
        <w:t>cids)</w:t>
      </w:r>
      <w:r w:rsidR="00EA59C4">
        <w:rPr>
          <w:rFonts w:eastAsia="Times New Roman"/>
          <w:color w:val="222222"/>
          <w:szCs w:val="24"/>
        </w:rPr>
        <w:t>,</w:t>
      </w:r>
      <w:r w:rsidR="00EA59C4" w:rsidRPr="00717D98">
        <w:rPr>
          <w:rFonts w:eastAsia="Times New Roman"/>
          <w:color w:val="222222"/>
          <w:szCs w:val="24"/>
        </w:rPr>
        <w:t xml:space="preserve"> </w:t>
      </w:r>
      <w:r w:rsidR="00EA59C4">
        <w:rPr>
          <w:rFonts w:eastAsia="Times New Roman"/>
          <w:color w:val="222222"/>
          <w:szCs w:val="24"/>
        </w:rPr>
        <w:t>PA</w:t>
      </w:r>
      <w:r w:rsidR="00EA59C4" w:rsidRPr="00717D98">
        <w:rPr>
          <w:rFonts w:eastAsia="Times New Roman"/>
          <w:color w:val="222222"/>
          <w:szCs w:val="24"/>
        </w:rPr>
        <w:t xml:space="preserve"> (Pyruvic Acid)</w:t>
      </w:r>
      <w:r w:rsidR="00EA59C4">
        <w:rPr>
          <w:rFonts w:eastAsia="Times New Roman"/>
          <w:color w:val="222222"/>
          <w:szCs w:val="24"/>
        </w:rPr>
        <w:t xml:space="preserve"> and GA (Glycolic Acid)</w:t>
      </w:r>
      <w:r w:rsidR="00EA59C4" w:rsidRPr="00717D98">
        <w:rPr>
          <w:rFonts w:eastAsia="Times New Roman"/>
          <w:color w:val="222222"/>
          <w:szCs w:val="24"/>
        </w:rPr>
        <w:t xml:space="preserve">. </w:t>
      </w:r>
      <w:r w:rsidR="00EA59C4">
        <w:t>G</w:t>
      </w:r>
      <w:r>
        <w:t>lycolic acid</w:t>
      </w:r>
      <w:r w:rsidR="00EA59C4">
        <w:t xml:space="preserve"> is one of the more common </w:t>
      </w:r>
      <w:r>
        <w:t xml:space="preserve">active ingredients </w:t>
      </w:r>
      <w:r w:rsidR="00EA59C4">
        <w:t xml:space="preserve">of the superficial peels. All </w:t>
      </w:r>
      <w:r w:rsidR="00EA59C4" w:rsidRPr="00B57AEB">
        <w:rPr>
          <w:rFonts w:eastAsia="Times New Roman"/>
          <w:color w:val="222222"/>
          <w:szCs w:val="24"/>
        </w:rPr>
        <w:t>AHA peels are classified as superficial peels, regardless of concentration and pH value, and</w:t>
      </w:r>
      <w:r w:rsidR="00EA59C4" w:rsidRPr="006B42E2">
        <w:rPr>
          <w:rFonts w:eastAsia="Times New Roman"/>
          <w:color w:val="222222"/>
          <w:szCs w:val="24"/>
        </w:rPr>
        <w:t xml:space="preserve"> in the case of A</w:t>
      </w:r>
      <w:r w:rsidR="00EA59C4">
        <w:rPr>
          <w:rFonts w:eastAsia="Times New Roman"/>
          <w:color w:val="222222"/>
          <w:szCs w:val="24"/>
        </w:rPr>
        <w:t>H</w:t>
      </w:r>
      <w:r w:rsidR="00EA59C4" w:rsidRPr="006B42E2">
        <w:rPr>
          <w:rFonts w:eastAsia="Times New Roman"/>
          <w:color w:val="222222"/>
          <w:szCs w:val="24"/>
        </w:rPr>
        <w:t xml:space="preserve">A and </w:t>
      </w:r>
      <w:r w:rsidR="00EA59C4">
        <w:rPr>
          <w:rFonts w:eastAsia="Times New Roman"/>
          <w:color w:val="222222"/>
          <w:szCs w:val="24"/>
        </w:rPr>
        <w:t>P</w:t>
      </w:r>
      <w:r w:rsidR="00EA59C4" w:rsidRPr="006B42E2">
        <w:rPr>
          <w:rFonts w:eastAsia="Times New Roman"/>
          <w:color w:val="222222"/>
          <w:szCs w:val="24"/>
        </w:rPr>
        <w:t xml:space="preserve">yruvic </w:t>
      </w:r>
      <w:r w:rsidR="00EA59C4">
        <w:rPr>
          <w:rFonts w:eastAsia="Times New Roman"/>
          <w:color w:val="222222"/>
          <w:szCs w:val="24"/>
        </w:rPr>
        <w:t xml:space="preserve">Acid </w:t>
      </w:r>
      <w:r w:rsidR="00EA59C4" w:rsidRPr="006B42E2">
        <w:rPr>
          <w:rFonts w:eastAsia="Times New Roman"/>
          <w:color w:val="222222"/>
          <w:szCs w:val="24"/>
        </w:rPr>
        <w:t xml:space="preserve">peels, the depth of penetration and the depth of damage/desquamation </w:t>
      </w:r>
      <w:r w:rsidR="00BE4CE7">
        <w:rPr>
          <w:rFonts w:eastAsia="Times New Roman"/>
          <w:color w:val="222222"/>
          <w:szCs w:val="24"/>
        </w:rPr>
        <w:t>vary</w:t>
      </w:r>
      <w:r w:rsidR="00EA59C4">
        <w:rPr>
          <w:rFonts w:eastAsia="Times New Roman"/>
          <w:color w:val="222222"/>
          <w:szCs w:val="24"/>
        </w:rPr>
        <w:t>.</w:t>
      </w:r>
    </w:p>
    <w:p w14:paraId="7512A928" w14:textId="67F046F6" w:rsidR="00D60CF4" w:rsidRDefault="00D60CF4" w:rsidP="00EA59C4">
      <w:pPr>
        <w:rPr>
          <w:rFonts w:eastAsia="Times New Roman"/>
          <w:color w:val="222222"/>
          <w:szCs w:val="24"/>
        </w:rPr>
      </w:pPr>
    </w:p>
    <w:p w14:paraId="6D00BD82" w14:textId="654D0DBA" w:rsidR="00D60CF4" w:rsidRPr="00D60CF4" w:rsidRDefault="00D60CF4" w:rsidP="00D60CF4">
      <w:pPr>
        <w:shd w:val="clear" w:color="auto" w:fill="FFFFFF"/>
        <w:rPr>
          <w:rFonts w:eastAsia="Times New Roman"/>
          <w:color w:val="222222"/>
          <w:szCs w:val="24"/>
        </w:rPr>
      </w:pPr>
      <w:r w:rsidRPr="00717D98">
        <w:rPr>
          <w:rFonts w:eastAsia="Times New Roman"/>
          <w:color w:val="222222"/>
          <w:szCs w:val="24"/>
        </w:rPr>
        <w:t>The intensity of desquamation (</w:t>
      </w:r>
      <w:r>
        <w:rPr>
          <w:rFonts w:eastAsia="Times New Roman"/>
          <w:color w:val="222222"/>
          <w:szCs w:val="24"/>
        </w:rPr>
        <w:t>t</w:t>
      </w:r>
      <w:r w:rsidRPr="00717D98">
        <w:rPr>
          <w:rFonts w:eastAsia="Times New Roman"/>
          <w:color w:val="222222"/>
          <w:szCs w:val="24"/>
        </w:rPr>
        <w:t>he strength of these peels) depends on the following factors:</w:t>
      </w:r>
      <w:r>
        <w:rPr>
          <w:rFonts w:eastAsia="Times New Roman"/>
          <w:color w:val="222222"/>
          <w:szCs w:val="24"/>
        </w:rPr>
        <w:t xml:space="preserve"> </w:t>
      </w:r>
      <w:r w:rsidRPr="00D60CF4">
        <w:rPr>
          <w:rFonts w:eastAsia="Times New Roman"/>
          <w:color w:val="222222"/>
          <w:szCs w:val="24"/>
        </w:rPr>
        <w:t>pH</w:t>
      </w:r>
      <w:r>
        <w:rPr>
          <w:rFonts w:eastAsia="Times New Roman"/>
          <w:color w:val="222222"/>
          <w:szCs w:val="24"/>
        </w:rPr>
        <w:t xml:space="preserve">, </w:t>
      </w:r>
      <w:r w:rsidRPr="00D60CF4">
        <w:rPr>
          <w:rFonts w:eastAsia="Times New Roman"/>
          <w:color w:val="222222"/>
          <w:szCs w:val="24"/>
        </w:rPr>
        <w:t>acid concentration</w:t>
      </w:r>
      <w:r>
        <w:rPr>
          <w:rFonts w:eastAsia="Times New Roman"/>
          <w:color w:val="222222"/>
          <w:szCs w:val="24"/>
        </w:rPr>
        <w:t xml:space="preserve">, </w:t>
      </w:r>
      <w:r w:rsidRPr="00D60CF4">
        <w:rPr>
          <w:rFonts w:eastAsia="Times New Roman"/>
          <w:color w:val="222222"/>
          <w:szCs w:val="24"/>
        </w:rPr>
        <w:t>acid strength</w:t>
      </w:r>
      <w:r>
        <w:rPr>
          <w:rFonts w:eastAsia="Times New Roman"/>
          <w:color w:val="222222"/>
          <w:szCs w:val="24"/>
        </w:rPr>
        <w:t xml:space="preserve">, </w:t>
      </w:r>
      <w:r w:rsidRPr="00D60CF4">
        <w:rPr>
          <w:rFonts w:eastAsia="Times New Roman"/>
          <w:color w:val="222222"/>
          <w:szCs w:val="24"/>
        </w:rPr>
        <w:t>exposure time and mandatory subsequent neutralization</w:t>
      </w:r>
      <w:r w:rsidR="00A81FC2">
        <w:rPr>
          <w:rFonts w:eastAsia="Times New Roman"/>
          <w:color w:val="222222"/>
          <w:szCs w:val="24"/>
        </w:rPr>
        <w:t xml:space="preserve"> and</w:t>
      </w:r>
      <w:r w:rsidR="00A81FC2" w:rsidRPr="00D60CF4">
        <w:rPr>
          <w:rFonts w:eastAsia="Times New Roman"/>
          <w:color w:val="222222"/>
          <w:szCs w:val="24"/>
        </w:rPr>
        <w:t xml:space="preserve"> skin</w:t>
      </w:r>
      <w:r w:rsidRPr="00D60CF4">
        <w:rPr>
          <w:rFonts w:eastAsia="Times New Roman"/>
          <w:color w:val="222222"/>
          <w:szCs w:val="24"/>
        </w:rPr>
        <w:t xml:space="preserve"> condition</w:t>
      </w:r>
      <w:r w:rsidR="00CA6C4F">
        <w:rPr>
          <w:rFonts w:eastAsia="Times New Roman"/>
          <w:color w:val="222222"/>
          <w:szCs w:val="24"/>
        </w:rPr>
        <w:t xml:space="preserve"> of the patient.</w:t>
      </w:r>
    </w:p>
    <w:p w14:paraId="1393F4AD" w14:textId="77777777" w:rsidR="00354401" w:rsidRDefault="00354401" w:rsidP="0074265C">
      <w:pPr>
        <w:autoSpaceDE w:val="0"/>
        <w:autoSpaceDN w:val="0"/>
        <w:adjustRightInd w:val="0"/>
      </w:pPr>
    </w:p>
    <w:p w14:paraId="2BC74592" w14:textId="2BEB1B5E" w:rsidR="00D14FCB" w:rsidRDefault="0048771E" w:rsidP="009F36B6">
      <w:pPr>
        <w:autoSpaceDE w:val="0"/>
        <w:autoSpaceDN w:val="0"/>
        <w:adjustRightInd w:val="0"/>
      </w:pPr>
      <w:r w:rsidRPr="00F13151">
        <w:rPr>
          <w:rFonts w:asciiTheme="minorBidi" w:hAnsiTheme="minorBidi" w:cstheme="minorBidi"/>
          <w:color w:val="1C1D1E"/>
          <w:shd w:val="clear" w:color="auto" w:fill="FFFFFF"/>
        </w:rPr>
        <w:t>While g</w:t>
      </w:r>
      <w:r w:rsidR="00FA1F06" w:rsidRPr="00F13151">
        <w:rPr>
          <w:rFonts w:asciiTheme="minorBidi" w:hAnsiTheme="minorBidi" w:cstheme="minorBidi"/>
          <w:color w:val="1C1D1E"/>
          <w:shd w:val="clear" w:color="auto" w:fill="FFFFFF"/>
        </w:rPr>
        <w:t xml:space="preserve">lycolic acid is </w:t>
      </w:r>
      <w:r w:rsidR="00F13151" w:rsidRPr="00F13151">
        <w:rPr>
          <w:rFonts w:asciiTheme="minorBidi" w:hAnsiTheme="minorBidi" w:cstheme="minorBidi"/>
          <w:color w:val="1C1D1E"/>
          <w:shd w:val="clear" w:color="auto" w:fill="FFFFFF"/>
        </w:rPr>
        <w:t xml:space="preserve">a </w:t>
      </w:r>
      <w:r w:rsidR="00FA1F06" w:rsidRPr="00F13151">
        <w:rPr>
          <w:rFonts w:asciiTheme="minorBidi" w:hAnsiTheme="minorBidi" w:cstheme="minorBidi"/>
          <w:color w:val="1C1D1E"/>
          <w:shd w:val="clear" w:color="auto" w:fill="FFFFFF"/>
        </w:rPr>
        <w:t xml:space="preserve">widely used </w:t>
      </w:r>
      <w:r w:rsidR="00F13151" w:rsidRPr="00F13151">
        <w:rPr>
          <w:rFonts w:asciiTheme="minorBidi" w:hAnsiTheme="minorBidi" w:cstheme="minorBidi"/>
          <w:color w:val="1C1D1E"/>
          <w:shd w:val="clear" w:color="auto" w:fill="FFFFFF"/>
        </w:rPr>
        <w:t>component of chemical peels in</w:t>
      </w:r>
      <w:r w:rsidR="00FA1F06" w:rsidRPr="00F13151">
        <w:rPr>
          <w:rFonts w:asciiTheme="minorBidi" w:hAnsiTheme="minorBidi" w:cstheme="minorBidi"/>
          <w:color w:val="1C1D1E"/>
          <w:shd w:val="clear" w:color="auto" w:fill="FFFFFF"/>
        </w:rPr>
        <w:t xml:space="preserve"> clinical practice</w:t>
      </w:r>
      <w:r w:rsidR="00F13151">
        <w:rPr>
          <w:rFonts w:asciiTheme="minorBidi" w:hAnsiTheme="minorBidi" w:cstheme="minorBidi"/>
          <w:color w:val="1C1D1E"/>
          <w:shd w:val="clear" w:color="auto" w:fill="FFFFFF"/>
        </w:rPr>
        <w:t xml:space="preserve">, the </w:t>
      </w:r>
      <w:r w:rsidR="00FA1F06" w:rsidRPr="00F13151">
        <w:rPr>
          <w:rFonts w:asciiTheme="minorBidi" w:hAnsiTheme="minorBidi" w:cstheme="minorBidi"/>
          <w:color w:val="1C1D1E"/>
          <w:shd w:val="clear" w:color="auto" w:fill="FFFFFF"/>
        </w:rPr>
        <w:t>pH ranges</w:t>
      </w:r>
      <w:r w:rsidR="00F13151">
        <w:rPr>
          <w:rFonts w:asciiTheme="minorBidi" w:hAnsiTheme="minorBidi" w:cstheme="minorBidi"/>
          <w:color w:val="1C1D1E"/>
          <w:shd w:val="clear" w:color="auto" w:fill="FFFFFF"/>
        </w:rPr>
        <w:t xml:space="preserve"> are generally</w:t>
      </w:r>
      <w:r w:rsidR="00FA1F06" w:rsidRPr="00F13151">
        <w:rPr>
          <w:rFonts w:asciiTheme="minorBidi" w:hAnsiTheme="minorBidi" w:cstheme="minorBidi"/>
          <w:color w:val="1C1D1E"/>
          <w:shd w:val="clear" w:color="auto" w:fill="FFFFFF"/>
        </w:rPr>
        <w:t xml:space="preserve"> from 0.08-2.75 and </w:t>
      </w:r>
      <w:r w:rsidRPr="00F13151">
        <w:rPr>
          <w:rFonts w:asciiTheme="minorBidi" w:hAnsiTheme="minorBidi" w:cstheme="minorBidi"/>
          <w:color w:val="1C1D1E"/>
          <w:shd w:val="clear" w:color="auto" w:fill="FFFFFF"/>
        </w:rPr>
        <w:t xml:space="preserve">must be </w:t>
      </w:r>
      <w:r w:rsidR="00FA1F06" w:rsidRPr="00F13151">
        <w:rPr>
          <w:rFonts w:asciiTheme="minorBidi" w:hAnsiTheme="minorBidi" w:cstheme="minorBidi"/>
          <w:color w:val="1C1D1E"/>
          <w:shd w:val="clear" w:color="auto" w:fill="FFFFFF"/>
        </w:rPr>
        <w:t>neutralized after application to avoid burns.</w:t>
      </w:r>
      <w:r w:rsidR="00BE15CD" w:rsidRPr="00BE15CD">
        <w:rPr>
          <w:rFonts w:asciiTheme="minorBidi" w:hAnsiTheme="minorBidi" w:cstheme="minorBidi" w:hint="cs"/>
          <w:color w:val="1C1D1E"/>
          <w:shd w:val="clear" w:color="auto" w:fill="FFFFFF"/>
          <w:vertAlign w:val="superscript"/>
        </w:rPr>
        <w:t>1</w:t>
      </w:r>
      <w:r w:rsidR="00F13151">
        <w:rPr>
          <w:rFonts w:ascii="Open Sans" w:hAnsi="Open Sans" w:cs="Open Sans"/>
          <w:color w:val="1C1D1E"/>
          <w:shd w:val="clear" w:color="auto" w:fill="FFFFFF"/>
        </w:rPr>
        <w:t xml:space="preserve"> However, </w:t>
      </w:r>
      <w:proofErr w:type="spellStart"/>
      <w:r w:rsidR="009013B4">
        <w:rPr>
          <w:rFonts w:ascii="Open Sans" w:hAnsi="Open Sans" w:cs="Open Sans"/>
          <w:color w:val="1C1D1E"/>
          <w:shd w:val="clear" w:color="auto" w:fill="FFFFFF"/>
        </w:rPr>
        <w:t>DermShield</w:t>
      </w:r>
      <w:proofErr w:type="spellEnd"/>
      <w:r w:rsidR="009013B4">
        <w:rPr>
          <w:rFonts w:ascii="Open Sans" w:hAnsi="Open Sans" w:cs="Open Sans"/>
          <w:color w:val="1C1D1E"/>
          <w:shd w:val="clear" w:color="auto" w:fill="FFFFFF"/>
        </w:rPr>
        <w:t xml:space="preserve"> </w:t>
      </w:r>
      <w:r w:rsidR="00A81FC2">
        <w:rPr>
          <w:rFonts w:ascii="Open Sans" w:hAnsi="Open Sans" w:cs="Open Sans"/>
          <w:color w:val="1C1D1E"/>
          <w:shd w:val="clear" w:color="auto" w:fill="FFFFFF"/>
        </w:rPr>
        <w:t>technology</w:t>
      </w:r>
      <w:r w:rsidR="009013B4">
        <w:rPr>
          <w:rFonts w:ascii="Open Sans" w:hAnsi="Open Sans" w:cs="Open Sans"/>
          <w:color w:val="1C1D1E"/>
          <w:shd w:val="clear" w:color="auto" w:fill="FFFFFF"/>
        </w:rPr>
        <w:t xml:space="preserve"> allows for a stronger </w:t>
      </w:r>
      <w:r w:rsidR="00D7598B">
        <w:rPr>
          <w:rFonts w:ascii="Open Sans" w:hAnsi="Open Sans" w:cs="Open Sans"/>
          <w:color w:val="1C1D1E"/>
          <w:shd w:val="clear" w:color="auto" w:fill="FFFFFF"/>
        </w:rPr>
        <w:t>compound</w:t>
      </w:r>
      <w:r w:rsidR="009013B4">
        <w:rPr>
          <w:rFonts w:ascii="Open Sans" w:hAnsi="Open Sans" w:cs="Open Sans"/>
          <w:color w:val="1C1D1E"/>
          <w:shd w:val="clear" w:color="auto" w:fill="FFFFFF"/>
        </w:rPr>
        <w:t xml:space="preserve">. </w:t>
      </w:r>
      <w:r w:rsidR="00D14FCB">
        <w:t xml:space="preserve">The safety of the NPC </w:t>
      </w:r>
      <w:r w:rsidR="000347D6">
        <w:t>(</w:t>
      </w:r>
      <w:proofErr w:type="spellStart"/>
      <w:r w:rsidR="00D14FCB">
        <w:t>DermShield</w:t>
      </w:r>
      <w:proofErr w:type="spellEnd"/>
      <w:r w:rsidR="000347D6">
        <w:t>)</w:t>
      </w:r>
      <w:r w:rsidR="00D14FCB">
        <w:t xml:space="preserve"> was further demonstrated in a </w:t>
      </w:r>
      <w:r w:rsidR="00D14FCB">
        <w:rPr>
          <w:rFonts w:eastAsia="Times New Roman"/>
          <w:color w:val="222222"/>
          <w:szCs w:val="24"/>
        </w:rPr>
        <w:t>prospective, double-blind, split-face controlled study conducted from January 2019 through March 2019.</w:t>
      </w:r>
      <w:r w:rsidR="00510B98">
        <w:rPr>
          <w:rFonts w:eastAsia="Times New Roman"/>
          <w:color w:val="222222"/>
          <w:szCs w:val="24"/>
        </w:rPr>
        <w:t xml:space="preserve"> In this trial, NPC </w:t>
      </w:r>
      <w:r w:rsidR="000347D6">
        <w:rPr>
          <w:rFonts w:eastAsia="Times New Roman"/>
          <w:color w:val="222222"/>
          <w:szCs w:val="24"/>
        </w:rPr>
        <w:t>(</w:t>
      </w:r>
      <w:proofErr w:type="spellStart"/>
      <w:r w:rsidR="00510B98">
        <w:rPr>
          <w:rFonts w:eastAsia="Times New Roman"/>
          <w:color w:val="222222"/>
          <w:szCs w:val="24"/>
        </w:rPr>
        <w:t>DermShield</w:t>
      </w:r>
      <w:proofErr w:type="spellEnd"/>
      <w:r w:rsidR="000347D6">
        <w:rPr>
          <w:rFonts w:eastAsia="Times New Roman"/>
          <w:color w:val="222222"/>
          <w:szCs w:val="24"/>
        </w:rPr>
        <w:t>)</w:t>
      </w:r>
      <w:r w:rsidR="00510B98">
        <w:rPr>
          <w:rFonts w:eastAsia="Times New Roman"/>
          <w:color w:val="222222"/>
          <w:szCs w:val="24"/>
        </w:rPr>
        <w:t xml:space="preserve"> combined with Glycolic acid</w:t>
      </w:r>
      <w:r w:rsidR="00D14FCB">
        <w:t xml:space="preserve"> </w:t>
      </w:r>
      <w:r w:rsidR="00510B98">
        <w:t xml:space="preserve">50%. </w:t>
      </w:r>
      <w:r w:rsidR="00CA1E04">
        <w:t xml:space="preserve">All of the participants in the study were healthy females between the ages of 40 and 54 years old. Most notably, the participants </w:t>
      </w:r>
      <w:r w:rsidR="009F36B6">
        <w:t>were Fitzpatrick skin types I, II and III.</w:t>
      </w:r>
    </w:p>
    <w:p w14:paraId="591CF967" w14:textId="4798CEE4" w:rsidR="00B83298" w:rsidRDefault="00B83298" w:rsidP="009F36B6">
      <w:pPr>
        <w:autoSpaceDE w:val="0"/>
        <w:autoSpaceDN w:val="0"/>
        <w:adjustRightInd w:val="0"/>
      </w:pPr>
    </w:p>
    <w:p w14:paraId="4C45DEF0" w14:textId="0B8F6569" w:rsidR="00B83298" w:rsidRDefault="00B83298" w:rsidP="009F36B6">
      <w:pPr>
        <w:autoSpaceDE w:val="0"/>
        <w:autoSpaceDN w:val="0"/>
        <w:adjustRightInd w:val="0"/>
      </w:pPr>
      <w:r>
        <w:t>At the end of the trial, the researchers concluded that the addition of the NPC (</w:t>
      </w:r>
      <w:proofErr w:type="spellStart"/>
      <w:r>
        <w:t>DermShield</w:t>
      </w:r>
      <w:proofErr w:type="spellEnd"/>
      <w:r>
        <w:t>) to GA 50% peel is ‘’a highly effective, safe modality in the reduction of erythema, pain and itching sensation after peel application, and provides an advantage in the post-treatment healing period’’.</w:t>
      </w:r>
      <w:r w:rsidR="00426BF9" w:rsidRPr="00BE15CD">
        <w:rPr>
          <w:vertAlign w:val="superscript"/>
        </w:rPr>
        <w:t>2</w:t>
      </w:r>
    </w:p>
    <w:p w14:paraId="7BE103B4" w14:textId="0257FACB" w:rsidR="00C86490" w:rsidRDefault="00C86490" w:rsidP="00C86490">
      <w:pPr>
        <w:autoSpaceDE w:val="0"/>
        <w:autoSpaceDN w:val="0"/>
        <w:adjustRightInd w:val="0"/>
      </w:pPr>
    </w:p>
    <w:p w14:paraId="5FB1F666" w14:textId="234EF531" w:rsidR="0049009D" w:rsidRDefault="00756F6E" w:rsidP="0049009D">
      <w:pPr>
        <w:autoSpaceDE w:val="0"/>
        <w:autoSpaceDN w:val="0"/>
        <w:adjustRightInd w:val="0"/>
        <w:rPr>
          <w:rFonts w:ascii="DINOT" w:hAnsi="DINOT" w:cs="DINOT"/>
          <w:color w:val="0F0000"/>
          <w:szCs w:val="24"/>
          <w:lang w:bidi="he-IL"/>
        </w:rPr>
      </w:pPr>
      <w:r>
        <w:rPr>
          <w:rFonts w:eastAsia="Times New Roman"/>
          <w:color w:val="222222"/>
          <w:szCs w:val="24"/>
        </w:rPr>
        <w:t>All</w:t>
      </w:r>
      <w:r w:rsidRPr="00C33812">
        <w:rPr>
          <w:rFonts w:eastAsia="Times New Roman"/>
          <w:color w:val="222222"/>
          <w:szCs w:val="24"/>
        </w:rPr>
        <w:t xml:space="preserve"> products </w:t>
      </w:r>
      <w:r>
        <w:rPr>
          <w:rFonts w:eastAsia="Times New Roman"/>
          <w:color w:val="222222"/>
          <w:szCs w:val="24"/>
        </w:rPr>
        <w:t xml:space="preserve">containing </w:t>
      </w:r>
      <w:proofErr w:type="spellStart"/>
      <w:r>
        <w:rPr>
          <w:rFonts w:eastAsia="Times New Roman"/>
          <w:color w:val="222222"/>
          <w:szCs w:val="24"/>
        </w:rPr>
        <w:t>DermShield</w:t>
      </w:r>
      <w:proofErr w:type="spellEnd"/>
      <w:r>
        <w:rPr>
          <w:rFonts w:eastAsia="Times New Roman"/>
          <w:color w:val="222222"/>
          <w:szCs w:val="24"/>
        </w:rPr>
        <w:t xml:space="preserve"> are </w:t>
      </w:r>
      <w:r w:rsidRPr="00C33812">
        <w:rPr>
          <w:rFonts w:eastAsia="Times New Roman"/>
          <w:color w:val="222222"/>
          <w:szCs w:val="24"/>
        </w:rPr>
        <w:t xml:space="preserve">based on the latest technologies </w:t>
      </w:r>
      <w:r>
        <w:rPr>
          <w:rFonts w:eastAsia="Times New Roman"/>
          <w:color w:val="222222"/>
          <w:szCs w:val="24"/>
        </w:rPr>
        <w:t xml:space="preserve">by researchers with </w:t>
      </w:r>
      <w:r w:rsidRPr="00C33812">
        <w:rPr>
          <w:rFonts w:eastAsia="Times New Roman"/>
          <w:color w:val="222222"/>
          <w:szCs w:val="24"/>
        </w:rPr>
        <w:t>deep knowledge of the functioning of the skin and the interact</w:t>
      </w:r>
      <w:r>
        <w:rPr>
          <w:rFonts w:eastAsia="Times New Roman"/>
          <w:color w:val="222222"/>
          <w:szCs w:val="24"/>
        </w:rPr>
        <w:t>ion between</w:t>
      </w:r>
      <w:r w:rsidRPr="00C33812">
        <w:rPr>
          <w:rFonts w:eastAsia="Times New Roman"/>
          <w:color w:val="222222"/>
          <w:szCs w:val="24"/>
        </w:rPr>
        <w:t xml:space="preserve"> skin </w:t>
      </w:r>
      <w:r>
        <w:rPr>
          <w:rFonts w:eastAsia="Times New Roman"/>
          <w:color w:val="222222"/>
          <w:szCs w:val="24"/>
        </w:rPr>
        <w:t xml:space="preserve">and chemical </w:t>
      </w:r>
      <w:r w:rsidRPr="00C33812">
        <w:rPr>
          <w:rFonts w:eastAsia="Times New Roman"/>
          <w:color w:val="222222"/>
          <w:szCs w:val="24"/>
        </w:rPr>
        <w:t>substances.</w:t>
      </w:r>
    </w:p>
    <w:p w14:paraId="313B30B9" w14:textId="46C8FAF4" w:rsidR="0049009D" w:rsidRDefault="0049009D" w:rsidP="008F17AF"/>
    <w:p w14:paraId="2307508D" w14:textId="6AA9EAFD" w:rsidR="009A04A2" w:rsidRDefault="009A04A2" w:rsidP="008F17AF"/>
    <w:p w14:paraId="6718A91D" w14:textId="3404261D" w:rsidR="00426BF9" w:rsidRPr="00426BF9" w:rsidRDefault="00426BF9" w:rsidP="00426BF9">
      <w:pPr>
        <w:pStyle w:val="ListParagraph"/>
        <w:numPr>
          <w:ilvl w:val="0"/>
          <w:numId w:val="10"/>
        </w:numPr>
        <w:autoSpaceDE w:val="0"/>
        <w:autoSpaceDN w:val="0"/>
        <w:bidi w:val="0"/>
        <w:adjustRightInd w:val="0"/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In Jae, J., Dong Ju, H., Dong Hyun, K., Yoon, M.S. and Lee, H.J., 2018. Comparative study of buffered 50% glycolic acid (pH </w:t>
      </w:r>
      <w:r w:rsidR="001A2AC5">
        <w:rPr>
          <w:rFonts w:ascii="Arial" w:hAnsi="Arial" w:cs="Arial"/>
          <w:color w:val="222222"/>
          <w:sz w:val="20"/>
          <w:szCs w:val="20"/>
          <w:shd w:val="clear" w:color="auto" w:fill="FFFFFF"/>
        </w:rPr>
        <w:t>3.0) +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0.5% salicylic acid solution vs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Jessner's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solution in patients with acne vulgaris.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Journal of cosmetic dermatology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17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(5), pp.797-801.</w:t>
      </w:r>
    </w:p>
    <w:p w14:paraId="5FF38DBC" w14:textId="77777777" w:rsidR="00426BF9" w:rsidRDefault="00426BF9" w:rsidP="00426BF9">
      <w:pPr>
        <w:pStyle w:val="ListParagraph"/>
        <w:numPr>
          <w:ilvl w:val="0"/>
          <w:numId w:val="10"/>
        </w:numPr>
        <w:autoSpaceDE w:val="0"/>
        <w:autoSpaceDN w:val="0"/>
        <w:bidi w:val="0"/>
        <w:adjustRightInd w:val="0"/>
      </w:pPr>
      <w:r w:rsidRPr="00B83298">
        <w:t xml:space="preserve">Kalluri H, Banga AK. Transdermal delivery of proteins. AAPS </w:t>
      </w:r>
      <w:proofErr w:type="spellStart"/>
      <w:r w:rsidRPr="00B83298">
        <w:t>PharmSciTech</w:t>
      </w:r>
      <w:proofErr w:type="spellEnd"/>
      <w:r w:rsidRPr="00B83298">
        <w:t>. 2011;12(1):431-441. doi:10.1208/s12249-011-9601-6</w:t>
      </w:r>
    </w:p>
    <w:p w14:paraId="37415200" w14:textId="77777777" w:rsidR="00426BF9" w:rsidRDefault="00426BF9" w:rsidP="00426BF9">
      <w:pPr>
        <w:autoSpaceDE w:val="0"/>
        <w:autoSpaceDN w:val="0"/>
        <w:adjustRightInd w:val="0"/>
        <w:ind w:left="360"/>
      </w:pPr>
    </w:p>
    <w:sectPr w:rsidR="00426B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54B21" w14:textId="77777777" w:rsidR="00805EAD" w:rsidRDefault="00805EAD" w:rsidP="00BE15CD">
      <w:r>
        <w:separator/>
      </w:r>
    </w:p>
  </w:endnote>
  <w:endnote w:type="continuationSeparator" w:id="0">
    <w:p w14:paraId="1D9937DD" w14:textId="77777777" w:rsidR="00805EAD" w:rsidRDefault="00805EAD" w:rsidP="00BE1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boto">
    <w:charset w:val="00"/>
    <w:family w:val="auto"/>
    <w:pitch w:val="variable"/>
    <w:sig w:usb0="E0000AFF" w:usb1="5000217F" w:usb2="0000002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DINOT">
    <w:altName w:val="Calibri"/>
    <w:panose1 w:val="00000000000000000000"/>
    <w:charset w:val="00"/>
    <w:family w:val="swiss"/>
    <w:notTrueType/>
    <w:pitch w:val="variable"/>
    <w:sig w:usb0="800000AF" w:usb1="4000207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BB70F" w14:textId="77777777" w:rsidR="00805EAD" w:rsidRDefault="00805EAD" w:rsidP="00BE15CD">
      <w:r>
        <w:separator/>
      </w:r>
    </w:p>
  </w:footnote>
  <w:footnote w:type="continuationSeparator" w:id="0">
    <w:p w14:paraId="6C948637" w14:textId="77777777" w:rsidR="00805EAD" w:rsidRDefault="00805EAD" w:rsidP="00BE15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66CA2"/>
    <w:multiLevelType w:val="hybridMultilevel"/>
    <w:tmpl w:val="387EBED6"/>
    <w:lvl w:ilvl="0" w:tplc="1134454E">
      <w:start w:val="1"/>
      <w:numFmt w:val="decimal"/>
      <w:lvlText w:val="%1."/>
      <w:lvlJc w:val="left"/>
      <w:pPr>
        <w:ind w:left="720" w:hanging="360"/>
      </w:pPr>
      <w:rPr>
        <w:rFonts w:ascii="Roboto" w:hAnsi="Roboto" w:hint="default"/>
        <w:color w:val="303030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C5A3F"/>
    <w:multiLevelType w:val="multilevel"/>
    <w:tmpl w:val="F92A7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DB31D7"/>
    <w:multiLevelType w:val="hybridMultilevel"/>
    <w:tmpl w:val="A978047C"/>
    <w:lvl w:ilvl="0" w:tplc="5B9E30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4A166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DE3D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0C2E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9EBE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9EF9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8629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BDCBD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ECE2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55E24DC"/>
    <w:multiLevelType w:val="hybridMultilevel"/>
    <w:tmpl w:val="94A62DF4"/>
    <w:lvl w:ilvl="0" w:tplc="4DD443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0C3B6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C481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4ECB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A252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5416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4C36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DA3C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BC5B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476258F"/>
    <w:multiLevelType w:val="hybridMultilevel"/>
    <w:tmpl w:val="6D164CF0"/>
    <w:lvl w:ilvl="0" w:tplc="C1AA3B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B02EE5"/>
    <w:multiLevelType w:val="hybridMultilevel"/>
    <w:tmpl w:val="A47A8356"/>
    <w:lvl w:ilvl="0" w:tplc="D81AF5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4C56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DA2EE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64A5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04CD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82D5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8A7D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DE9E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6A042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57A46865"/>
    <w:multiLevelType w:val="hybridMultilevel"/>
    <w:tmpl w:val="4A1EDB40"/>
    <w:lvl w:ilvl="0" w:tplc="D130A6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3A312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68A2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E679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FA28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46D5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96D6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DA17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F435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6E446DEC"/>
    <w:multiLevelType w:val="hybridMultilevel"/>
    <w:tmpl w:val="D11CC1C8"/>
    <w:lvl w:ilvl="0" w:tplc="4A0C28DC">
      <w:start w:val="1"/>
      <w:numFmt w:val="decimal"/>
      <w:lvlText w:val="%1."/>
      <w:lvlJc w:val="left"/>
      <w:pPr>
        <w:ind w:left="360" w:hanging="360"/>
      </w:pPr>
      <w:rPr>
        <w:rFonts w:ascii="Roboto" w:hAnsi="Roboto" w:hint="default"/>
        <w:color w:val="303030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1BE55D4"/>
    <w:multiLevelType w:val="hybridMultilevel"/>
    <w:tmpl w:val="E146C938"/>
    <w:lvl w:ilvl="0" w:tplc="FB4069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0EBF9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604F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7861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32C7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6622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58F1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C402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1EF3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7640381A"/>
    <w:multiLevelType w:val="hybridMultilevel"/>
    <w:tmpl w:val="DA3A9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2698668">
    <w:abstractNumId w:val="1"/>
  </w:num>
  <w:num w:numId="2" w16cid:durableId="901868004">
    <w:abstractNumId w:val="6"/>
  </w:num>
  <w:num w:numId="3" w16cid:durableId="210776784">
    <w:abstractNumId w:val="3"/>
  </w:num>
  <w:num w:numId="4" w16cid:durableId="1904830607">
    <w:abstractNumId w:val="8"/>
  </w:num>
  <w:num w:numId="5" w16cid:durableId="1529222705">
    <w:abstractNumId w:val="2"/>
  </w:num>
  <w:num w:numId="6" w16cid:durableId="1335307308">
    <w:abstractNumId w:val="5"/>
  </w:num>
  <w:num w:numId="7" w16cid:durableId="173956416">
    <w:abstractNumId w:val="9"/>
  </w:num>
  <w:num w:numId="8" w16cid:durableId="1716082922">
    <w:abstractNumId w:val="0"/>
  </w:num>
  <w:num w:numId="9" w16cid:durableId="790511285">
    <w:abstractNumId w:val="7"/>
  </w:num>
  <w:num w:numId="10" w16cid:durableId="11731842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629"/>
    <w:rsid w:val="00005153"/>
    <w:rsid w:val="000347D6"/>
    <w:rsid w:val="00095875"/>
    <w:rsid w:val="00095E8A"/>
    <w:rsid w:val="000D5361"/>
    <w:rsid w:val="00111E0D"/>
    <w:rsid w:val="0013244F"/>
    <w:rsid w:val="00134410"/>
    <w:rsid w:val="001500C0"/>
    <w:rsid w:val="00172E95"/>
    <w:rsid w:val="001743AA"/>
    <w:rsid w:val="001775C0"/>
    <w:rsid w:val="001A2AC5"/>
    <w:rsid w:val="001C3962"/>
    <w:rsid w:val="001F39D2"/>
    <w:rsid w:val="00205AF0"/>
    <w:rsid w:val="00205EA2"/>
    <w:rsid w:val="002242FC"/>
    <w:rsid w:val="00254945"/>
    <w:rsid w:val="00257662"/>
    <w:rsid w:val="0026311B"/>
    <w:rsid w:val="0028337A"/>
    <w:rsid w:val="002A1542"/>
    <w:rsid w:val="002B1DFA"/>
    <w:rsid w:val="002C0A3A"/>
    <w:rsid w:val="002D1103"/>
    <w:rsid w:val="0031079C"/>
    <w:rsid w:val="00314FA9"/>
    <w:rsid w:val="0032691C"/>
    <w:rsid w:val="00354401"/>
    <w:rsid w:val="00366BBA"/>
    <w:rsid w:val="00370840"/>
    <w:rsid w:val="0037227D"/>
    <w:rsid w:val="00396D10"/>
    <w:rsid w:val="003D1676"/>
    <w:rsid w:val="003D4B58"/>
    <w:rsid w:val="003D5A7F"/>
    <w:rsid w:val="004121C9"/>
    <w:rsid w:val="00426BF9"/>
    <w:rsid w:val="004665AF"/>
    <w:rsid w:val="00486CF0"/>
    <w:rsid w:val="0048771E"/>
    <w:rsid w:val="0049009D"/>
    <w:rsid w:val="00492720"/>
    <w:rsid w:val="004A7783"/>
    <w:rsid w:val="004D55AD"/>
    <w:rsid w:val="00510B98"/>
    <w:rsid w:val="00533C50"/>
    <w:rsid w:val="00555C15"/>
    <w:rsid w:val="005F16E0"/>
    <w:rsid w:val="00611629"/>
    <w:rsid w:val="00620191"/>
    <w:rsid w:val="00622A20"/>
    <w:rsid w:val="0064596E"/>
    <w:rsid w:val="0065086E"/>
    <w:rsid w:val="00661718"/>
    <w:rsid w:val="006B0F22"/>
    <w:rsid w:val="006F4BAA"/>
    <w:rsid w:val="00716116"/>
    <w:rsid w:val="0072190C"/>
    <w:rsid w:val="0074265C"/>
    <w:rsid w:val="00756147"/>
    <w:rsid w:val="00756F6E"/>
    <w:rsid w:val="007628D4"/>
    <w:rsid w:val="00766259"/>
    <w:rsid w:val="00790E2E"/>
    <w:rsid w:val="007D227A"/>
    <w:rsid w:val="007D36D1"/>
    <w:rsid w:val="007E58BD"/>
    <w:rsid w:val="00805EAD"/>
    <w:rsid w:val="00854CD3"/>
    <w:rsid w:val="008C7900"/>
    <w:rsid w:val="008D20EC"/>
    <w:rsid w:val="008F17AF"/>
    <w:rsid w:val="009013B4"/>
    <w:rsid w:val="00915014"/>
    <w:rsid w:val="00925BEE"/>
    <w:rsid w:val="009405B2"/>
    <w:rsid w:val="00944799"/>
    <w:rsid w:val="00944D96"/>
    <w:rsid w:val="00944E32"/>
    <w:rsid w:val="00945268"/>
    <w:rsid w:val="00977963"/>
    <w:rsid w:val="0098308F"/>
    <w:rsid w:val="009A04A2"/>
    <w:rsid w:val="009F36B6"/>
    <w:rsid w:val="00A66B3B"/>
    <w:rsid w:val="00A81FC2"/>
    <w:rsid w:val="00A873A4"/>
    <w:rsid w:val="00A937B8"/>
    <w:rsid w:val="00AE2356"/>
    <w:rsid w:val="00B00298"/>
    <w:rsid w:val="00B02A12"/>
    <w:rsid w:val="00B27000"/>
    <w:rsid w:val="00B535FE"/>
    <w:rsid w:val="00B55B9C"/>
    <w:rsid w:val="00B56EC6"/>
    <w:rsid w:val="00B83298"/>
    <w:rsid w:val="00BB44C7"/>
    <w:rsid w:val="00BE15CD"/>
    <w:rsid w:val="00BE4CE7"/>
    <w:rsid w:val="00BF3F84"/>
    <w:rsid w:val="00C13078"/>
    <w:rsid w:val="00C140ED"/>
    <w:rsid w:val="00C410E3"/>
    <w:rsid w:val="00C4217F"/>
    <w:rsid w:val="00C86490"/>
    <w:rsid w:val="00CA1E04"/>
    <w:rsid w:val="00CA6C4F"/>
    <w:rsid w:val="00CB3BC4"/>
    <w:rsid w:val="00CF3178"/>
    <w:rsid w:val="00D03033"/>
    <w:rsid w:val="00D06A1E"/>
    <w:rsid w:val="00D14FCB"/>
    <w:rsid w:val="00D27AD2"/>
    <w:rsid w:val="00D60CF4"/>
    <w:rsid w:val="00D7598B"/>
    <w:rsid w:val="00D87E22"/>
    <w:rsid w:val="00D9052B"/>
    <w:rsid w:val="00D95AFD"/>
    <w:rsid w:val="00DD5629"/>
    <w:rsid w:val="00E30152"/>
    <w:rsid w:val="00E53886"/>
    <w:rsid w:val="00EA403D"/>
    <w:rsid w:val="00EA59C4"/>
    <w:rsid w:val="00EB21B9"/>
    <w:rsid w:val="00F13151"/>
    <w:rsid w:val="00F2354F"/>
    <w:rsid w:val="00F25BCD"/>
    <w:rsid w:val="00F6075E"/>
    <w:rsid w:val="00F6299A"/>
    <w:rsid w:val="00F927F2"/>
    <w:rsid w:val="00FA1F06"/>
    <w:rsid w:val="00FC3C4B"/>
    <w:rsid w:val="00FF4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90ED33"/>
  <w15:chartTrackingRefBased/>
  <w15:docId w15:val="{01239C45-1B1B-4D46-8EEF-A39F63ED4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FC3C4B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A04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A04A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A04A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04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04A2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A154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154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873A4"/>
    <w:pPr>
      <w:bidi/>
      <w:spacing w:after="160" w:line="259" w:lineRule="auto"/>
      <w:ind w:left="720"/>
      <w:contextualSpacing/>
    </w:pPr>
    <w:rPr>
      <w:rFonts w:asciiTheme="minorHAnsi" w:hAnsiTheme="minorHAnsi" w:cstheme="minorBidi"/>
      <w:sz w:val="22"/>
      <w:lang w:bidi="he-IL"/>
    </w:rPr>
  </w:style>
  <w:style w:type="paragraph" w:styleId="NormalWeb">
    <w:name w:val="Normal (Web)"/>
    <w:basedOn w:val="Normal"/>
    <w:uiPriority w:val="99"/>
    <w:semiHidden/>
    <w:unhideWhenUsed/>
    <w:rsid w:val="004A7783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bidi="he-IL"/>
    </w:rPr>
  </w:style>
  <w:style w:type="character" w:customStyle="1" w:styleId="Heading5Char">
    <w:name w:val="Heading 5 Char"/>
    <w:basedOn w:val="DefaultParagraphFont"/>
    <w:link w:val="Heading5"/>
    <w:uiPriority w:val="9"/>
    <w:rsid w:val="00FC3C4B"/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FC3C4B"/>
    <w:rPr>
      <w:b/>
      <w:bCs/>
    </w:rPr>
  </w:style>
  <w:style w:type="paragraph" w:styleId="Revision">
    <w:name w:val="Revision"/>
    <w:hidden/>
    <w:uiPriority w:val="99"/>
    <w:semiHidden/>
    <w:rsid w:val="00205AF0"/>
  </w:style>
  <w:style w:type="paragraph" w:styleId="Header">
    <w:name w:val="header"/>
    <w:basedOn w:val="Normal"/>
    <w:link w:val="HeaderChar"/>
    <w:uiPriority w:val="99"/>
    <w:unhideWhenUsed/>
    <w:rsid w:val="00BE15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15CD"/>
  </w:style>
  <w:style w:type="paragraph" w:styleId="Footer">
    <w:name w:val="footer"/>
    <w:basedOn w:val="Normal"/>
    <w:link w:val="FooterChar"/>
    <w:uiPriority w:val="99"/>
    <w:unhideWhenUsed/>
    <w:rsid w:val="00BE15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15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23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747513">
          <w:marLeft w:val="317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3843">
          <w:marLeft w:val="950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4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93026">
          <w:marLeft w:val="3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81960">
          <w:marLeft w:val="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4055">
          <w:marLeft w:val="3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30317">
          <w:marLeft w:val="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91947">
          <w:marLeft w:val="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21222">
          <w:marLeft w:val="3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3513">
          <w:marLeft w:val="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5550">
          <w:marLeft w:val="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68069">
          <w:marLeft w:val="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8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94404">
          <w:marLeft w:val="317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53056">
          <w:marLeft w:val="950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544001">
          <w:marLeft w:val="950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246864">
          <w:marLeft w:val="1584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6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6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608124">
          <w:marLeft w:val="317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26962">
          <w:marLeft w:val="950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2709">
          <w:marLeft w:val="950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2066">
          <w:marLeft w:val="317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1517">
          <w:marLeft w:val="950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5931">
          <w:marLeft w:val="317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22065">
          <w:marLeft w:val="950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1238">
          <w:marLeft w:val="317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49419">
          <w:marLeft w:val="950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66470">
          <w:marLeft w:val="950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7135">
          <w:marLeft w:val="950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5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963</Words>
  <Characters>5492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beth</dc:creator>
  <cp:keywords/>
  <dc:description/>
  <cp:lastModifiedBy>Dalia Dawn Orkin</cp:lastModifiedBy>
  <cp:revision>2</cp:revision>
  <dcterms:created xsi:type="dcterms:W3CDTF">2024-01-16T13:56:00Z</dcterms:created>
  <dcterms:modified xsi:type="dcterms:W3CDTF">2024-01-16T13:56:00Z</dcterms:modified>
</cp:coreProperties>
</file>